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risk assets and gold, with the S&amp;P 500 and Bitcoin tending to weaken when the dollar strengthens, and gold showing the strongest inverse relationship. Gold’s link to the dollar is not only strong but also stable across the 15D and 30D windows, while the S&amp;P 500 and Bitcoin show somewhat softer but still meaningful inverse co-moves. In contrast, oil and broad commodities have only weak, short-term ties to the USD right now, despite their more dollar-linked behavior over the last 90 trading days.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