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generally moved opposite to 10-year yields, with small caps showing the strongest equity-rate linkage and broad large-cap and tech indices somewhat less rate-sensitive but still meaningfully negatively correlated. Utilities remain negatively tied to yields but sit in the middle of the pack, weaker than small caps but stronger than tech.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