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risk assets and gold, with the S&amp;P 500 and Bitcoin both moving meaningfully opposite the dollar and gold showing the single strongest inverse sensitivity. Gold’s consistently strong negative correlation across 15D and 30D, easing but still notable over 90D, highlights it as the clearest counter-USD asset in this set. By contrast, oil and broad commodities show only mild and less stable ties to the dollar near term, despite having more positive USD linkage over the 90D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