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Rates correlations: Over the last 30 trading days, U. S. equities have shown broadly negative sensitivity to rising 10-year yields, with that pressure most acute and concentrated in small caps, followed by the S&amp;P 500 and Nasdaq 100. The current equity–rates linkage is much tighter than the 90-day lens suggests, indicating rate moves have recently become a more dominant driver of index swings.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