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Trust (GLD), which shows the strongest inverse relationship with the dollar, followed by a similar but slightly weaker negative linkage for the S&amp;P 500. Oil (USO) and broad commodities (COMT) both move moderately in the same direction as the USD, indicating that recent commodity pricing has been partly aligned with dollar strength. Bitcoin futures, by contrast, show little meaningful connection to the USD over this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