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equity index sensitivity to 10Y yields has been modestly negative, with the Russell 2000 showing the clearest rate linkage among the major benchmarks and implying that smaller caps have been more exposed to yield moves than the S&amp;P 500 or Nasdaq 100. The relatively contained 30D correlations for Nasdaq 100, Financials, and Utilities suggest that, recently, rate moves have not been the dominant driver for those sectors, even though Utilities and Financials have shown more pronounced rate sensitivity over 15D and 90D windows. Overall, rate influence on equities is negative but not uniform, with pressure more concentrated in small caps and longer-term windows showing a stronger drag from rising yields.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