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USD correlations: Over the last 30 trading days, USD sensitivity is concentrated in equities, gold, and bitcoin, all of which tend to weaken when the dollar strengthens, with gold showing the tightest linkage. The S&amp;P 500 and bitcoin both display moderately negative correlations, consistent with a broad “risk asset vs. USD” pattern. Oil and broad commodities show only limited connection to the dollar over this window, and their weaker 30-day readings versus 90-day suggest that any earlier USD-commodity alignment has recently faded.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