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traded with broadly negative rate sensitivity, with the Russell 2000 showing the sharpest inverse linkage to yields and the S&amp;P 500 and Nasdaq 100 also firmly in that camp. This points to rate moves exerting a concentrated influence on small caps, while large-cap and growth benchmarks are meaningfully affected but somewhat less 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