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been most tightly linked to gold, with a strong inverse relationship that suggests a firmer dollar has tended to coincide with weaker gold prices, and vice versa. Equities and bitcoin also show clear negative sensitivity to the USD, while oil has moved moderately in the same direction as the dollar. Broad commodities stand out as relatively insulated from the USD over this window, and the 15D vs. 90D patterns point to recently strengthening USD linkages for most assets, especially gold and the S&amp;P 500.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