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overall have traded with a modestly negative bias to moves in the 10-year yield, with the Russell 2000 showing the clearest equity sensitivity to rates and the S&amp;P 500 and Nasdaq 100 reacting more mildly. Small caps’ consistently stronger negative linkage across 15D, 30D, and 90D suggests rate sensitivity is concentrated in that segment, while financials’ relationship has recently weakened despite still being negative over longer windows. Utilities and the Nasdaq 100 show relatively contained 30D sensitivity, implying recent equity-rate dynamics are being driven more by broader and smaller-cap indices than by classic defensives or large-cap growth.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