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and BTC, with gold showing the clearest inverse linkage and Bitcoin more moderately moving opposite the dollar. The S&amp;P 500 also leans negatively correlated but less tightly, suggesting equities are influenced by the USD without being dominated by it. Oil and broad commodities show only mild, positive linkage to the dollar, indicating their recent moves have been largely independent of USD swings. Over 90 days, the negative relationship strengthens for both gold and equities, underscoring a more persistent pattern of them tending to rise when the dollar falls.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