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all major equity indices have shown clear negative sensitivity to rising 10-year yields, with the S&amp;P 500 and Russell 2000 the most responsive among them and the Nasdaq somewhat less so. The Russell’s 90-day reading is notably more negative than its 30-day figure, suggesting rate sensitivity there has been elevated for longer, while the S&amp;P’s and Nasdaq’s correlations have strengthened more recently. Sector-wise, Utilities appear more rate-sensitive than Financials at the 30-day horizon, underscoring that higher yields have been more of a headwind for bond-proxy sectors than for banks.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