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where GLD shows a strong and consistently negative linkage, and in Bitcoin futures, which also move meaningfully opposite to the dollar. The S&amp;P 500 has a moderate, more variable negative relationship with USD, while broad commodities and oil remain only weakly tied to dollar moves across all windows. Overall, the clearest dollar hedge behavior is in GLD, with BTC showing a secondary but notable inverse response.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