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and sectors show only mild day‑to‑day linkage to 10-year yields, with the S&amp;P 500, Nasdaq 100, Financials, and Utilities all displaying relatively contained rate sensitivity. The Russell 2000 stands out as the most rate‑sensitive equity index, with its modest 30-day linkage sitting in front of a much stronger negative relationship over 90 days, suggesting smaller caps have been more reactive to yield moves over the longer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