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moves have mattered most for gold and large-cap U. S. equities, with both GLD and the S&amp;P 500 showing clear inverse links, and Bitcoin also tending to fall when the dollar strengthens. That influence is concentrated rather than broad-based, as oil and broad commodity ETFs show only mild and unstable USD sensitivity, with their 15D and 90D readings drifting between weak positive and modestly stronger positive 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