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rate sensitivity is most pronounced in small caps and financials, with the Russell 2000 and Financials sector both showing fairly strong negative linkage to moves in the 10-year yield. Large-cap and growth benchmarks like the S&amp;P 500 and Nasdaq 100 have been less tightly tied to daily rate moves, with the Nasdaq’s relationship especially muted. Utilities currently show only a light connection to rates on this 30-day window, despite a noticeably stronger negative correlation over the last 15 days.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