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Gold and Bitcoin, both showing clear inverse relationships where a stronger dollar has tended to align with weaker prices in these assets. Gold displays the most consistent USD sensitivity across all windows, while Bitcoin’s negative linkage is meaningful but somewhat less stable. In contrast, the S&amp;P 500, oil (USO), and broad commodities show only mild and shifting correlations, suggesting relatively contained near-term sensitivity to day-to-day USD moves.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