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Rates correlations: Over the last 30 trading days, equity index returns have generally moved opposite to 10-year yields, with the relationship most pronounced in small caps, where rate sensitivity is clearly concentrated (RUT is more negatively linked to yields than SPX or NDX across all windows). Financials also show a firm negative linkage to yields, though that sensitivity has eased over the 90-day window. Utilities stand out as relatively insulated from rate moves recently, with only a weak 30-day correlation despite mildly negative readings over 15 and 90 days.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