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and Bitcoin, both showing moderately negative linkages, with GLD the clearest inverse responder and BTC persistently moving opposite the dollar across all windows. The S&amp;P 500 has a milder, more recent negative relationship with the USD that has strengthened versus the last 90 days but remains less pronounced than gold or crypto. Oil and broad commodities sit in a contained zone, with only weak, slightly positive co-movement to the dollar, suggesting their recent moves have been driven more by idiosyncratic or sector-specific forces than by FX.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