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concentrated in small caps and financials, with the Russell 2000 and XLF showing the clearest negative linkage to moves in the 10‑year yield. The S&amp;P 500 also leans negatively to rates, but less consistently than the Russell, while the Nasdaq 100 and Utilities have shown only limited 30D sensitivity despite being more reactive to yields over the last 90 trading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