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both showing moderate inverse links to the dollar, with gold’s negative relationship especially stable across 15D and 90D windows. Equities, oil, and broad commodities all show relatively contained USD linkage over 30 days, with weaker and less consistent correlations that shift sign or fade when you compare short- and longer-term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