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benchmarks have generally moved opposite to yields, with the Russell 2000 and Financials showing the clearest rate sensitivity among the major indexes and sectors. The Russell 2000’s consistently more negative correlations across 15D, 30D, and 90D point to more concentrated rate influence in smaller caps versus the S&amp;P 500 and Nasdaq 100. The Nasdaq 100’s relatively mild 30D linkage suggests its day‑to‑day moves have been less tied to shifts in the 10‑year yield than the broader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