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most pronounced in the Russell 2000 and Financials, both showing fairly strong negative linkages to moves in the 10-year yield, while the S&amp;P 500 and Utilities are also meaningfully rate‑sensitive but to a slightly lesser degree. The Nasdaq 100 stands out with relatively contained rate sensitivity over this window. Looking across 15D and 90D, the negative correlation for small caps and the S&amp;P 500 has been more persistent, suggesting equity pressure has tended to align with rising yields over the broader quarter.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