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in equities is most pronounced in small caps, with the Russell 2000 showing the strongest negative linkage to rising yields, while the S&amp;P 500 and Nasdaq 100 display more moderate inverse relationships. Financials have recently moved from a very strong negative association at 15D toward a milder negative link at 30D, suggesting their rate sensitivity has been less consistent in the near term. Utilities stand out with contained and slightly positive 30D correlation to yields, concentrating most of the clear equity rate pressure in the small-cap space rather than in traditional defensives.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