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moves have had the clearest impact on gold, with a concentrated, moderately negative linkage that has deepened over the 90-day window, while Bitcoin shows a steadier but slightly weaker inverse relationship. The S&amp;P 500 is also negatively tied to the dollar, though less tightly than gold and with some recent moderation. In contrast, oil and broad commodities show only mild, positive USD correlations, indicating that their day-to-day moves have been relatively contained from a dollar-sensitivity standpoint.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