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have traded with unusually strong inverse sensitivity to 10-year yields, with the S&amp;P 500, Nasdaq 100, and especially the rate‑sensitive Russell 2000 all showing tight negative linkages. The Russell 2000’s correlation is the most pronounced among the equity benchmarks, suggesting that moves in yields have been a particularly important driver for small caps.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