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fairly broad across major assets, with the strongest linkage concentrated in gold, where GLD has moved sharply in the opposite direction of the dollar. Equities (SPX) also show a clear inverse relationship to the USD, while oil (USO) and broad commodities (COMT) have tended to rise with a stronger dollar. The 15D vs. 90D patterns suggest these relationships have recently intensified for gold and equities, and become more firmly positive for commodities, while Bitcoin’s linkage to the USD remains minimal and unstable.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