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U.S. equities (SPX, NDX) and sector proxies (XLF, XLU) have shown only mild day‑to‑day linkage with moves in the 10Y yield, pointing to relatively contained index‑level rate sensitivity in the near term. The Russell 2000 stands out with a more persistent negative relationship to yields, and its 30D reading sits between its weaker 15D and stronger 90D correlations, suggesting rate sensitivity is both meaningful and building over longer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