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BTC, all showing moderate negative correlations, which means they have generally moved in the opposite direction of the dollar. GLD stands out as the clearest USD hedge, with a consistently strong inverse relationship across 15D, 30D, and 90D windows, while SPX and BTC show somewhat steadier but slightly weaker negative links. In contrast, USO and broad commodities exhibit contained and unstable USD relationships, with correlations near zero on the 30D window and flipping signs over 90D, indicating limited and shifting dollar influence on those exposures.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