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indexes have shown strong inverse sensitivity to moves in the 10-year yield, with the Russell 2000 and S&amp;P 500 the most negatively linked, and the Nasdaq 100 close behind. This means stock returns have generally struggled on days when yields rise, with that effect especially concentrated in smaller caps. Financials have also leaned negatively with yields despite their usual rate–benefit narrative, while Utilities maintain a more moderate but persistent inverse relationship that is clearer over the 90-day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