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meaningfully linked to all major assets except Bitcoin, with the strongest (and clearly concentrated) inverse relationship in gold, where a stronger dollar has tended to align with weaker GLD returns. Equities (SPX) also show a noticeable negative linkage to the dollar, while oil (USO) and broad commodities (COMT) have moved more in tandem with USD strength. Compared with the 90-day window, most of these relationships have become somewhat tighter recently, especially for gold and oil, while the 15-day readings suggest that short-term USD sensitivity in gold and the S&amp;P has been even more pronounced.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