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generally move opposite 10-year yields, with the Russell 2000 showing the strongest equity-side sensitivity and making rate influence relatively concentrated in small caps. SPX and NDX are also meaningfully negatively tied to yields, while XLF and XLU show only contained rate sensitivity in this window. Compared with the past 90 days, most equity segments still look rate‑sensitive, but the magnitude of that linkage has eased somewhat outside of small caps.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