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equities, gold, and bitcoin, all showing moderately negative links, while oil and broad commodities have stayed relatively insulated. The S&amp;P 500 and bitcoin have both leaned more negatively linked to the dollar versus their 90-day norms, pointing to a tighter equity/crypto reaction to USD moves recently. Gold shows the strongest and most persistent negative relationship with the dollar across all windows, underscoring its role as the main counter-move to USD in this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