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generally moved opposite 10Y yields, with rate sensitivity most pronounced in small caps and broad large caps (RUT and SPX more negative than NDX). The Russell 2000 shows the deepest equity linkage to yields across 15D, 30D, and 90D, indicating that rate influence is concentrated in smaller, more domestically focused names. Financials show only mild and somewhat inconsistent connections to yields, while Utilities display a steadier but more moderate negative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