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risk assets and gold, with the S&amp;P 500, Bitcoin, and especially gold all tending to move opposite the dollar. Gold shows the strongest inverse linkage, with a consistently negative relationship across 15D, 30D, and 90D windows, while the S&amp;P 500 and Bitcoin also lean steadily negative but somewhat less tightly. In contrast, broad commodities and oil show only weak short-term connections to the USD, and their 90D readings suggest a more mixed and less reliable dollar linkage over longer horizons.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