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returns have generally moved opposite 10Y yields, with the S&amp;P 500 and Nasdaq showing moderate negative sensitivity and the Russell 2000 showing the sharpest equity response to rate moves. Within sectors, rate sensitivity is more contained for Financials and Utilities, where correlations to yields remain relatively low in absolute terms. Compared with the 90-day window, the broad indices still look firmly rate‑sensitive, but that sensitivity has eased somewhat for large-cap growth while staying relatively high for small caps.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