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USD correlations: Over the last 30 trading days, USD moves have mattered most for gold, equities, and bitcoin, with all three showing moderately negative correlations, meaning they have tended to rise when the dollar fell and vice versa. That influence is concentrated in GLD, which shows the strongest USD linkage, while SPX and bitcoin also display consistent but slightly milder sensitivity. In contrast, broad commodities and oil show contained and unstable relationships with the USD, with short- and long-window correlations flipping sign or drifting toward zero.</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