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US equities have mostly moved opposite to 10-year yields, with the Russell 2000 showing the strongest equity-rate sensitivity and the S&amp;P 500 also meaningfully exposed. The Nasdaq 100 has been less reactive than broad equities, while Financials have lately traded more like rate-sensitive risk assets than typical beneficiaries of higher yields. Utilities now show relatively contained rate sensitivity, and the 15D vs. 90D pattern suggests that the negative linkage between rates and small caps has been a persistent feature rather than a short-lived blip.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