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gold and bitcoin, which both move meaningfully opposite to the dollar, while equities, oil, and broad commodities show only weak day-to-day linkage. Gold displays the clearest inverse relationship with the USD, and that linkage has stayed consistently strong across 15D and 90D windows. Bitcoin’s negative correlation is also notable, though somewhat less stable, while the S&amp;P 500, oil, and broad commodities have contained and more variable USD connections.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