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US equities have moved with notably high inverse sensitivity to 10-year yields, with the Russell 2000 showing the strongest negative linkage, followed closely by the S&amp;P 500 and Nasdaq 100. This means stock indices have generally weakened on days when yields rise, and vice versa, with small caps currently the most rate‑responsive. Financials also lean negatively to yields, but less tightly, while Utilities stand out with relatively contained rate sensitivity despite their more pronounced negative link over the 90-day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