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all tracked assets have shown a meaningful linkage to the dollar, with the strongest sensitivity concentrated in gold, which has moved clearly opposite to DXY. Equities and bitcoin have also tended to weaken when the dollar strengthens, though less sharply than gold, while oil and the broad commodity basket have more often risen alongside a stronger USD. The 15-day window shows these patterns recently intensifying, especially for gold and the S&amp;P 500, while the 90-day view indicates that today’s correlations are generally stronger than their longer-term norms.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