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the S&amp;P 500, Nasdaq 100, and Russell 2000 have all shown strong negative correlations to 10-year yields, with rate sensitivity most concentrated in the Russell 2000. The broad equity indices’ correlations have become more negative compared with their 90-day readings, pointing to an intensified equity drawdown tendency when yields rise in the nearer term. Sector-wise, Financials remain only moderately tied to rates while Utilities show a more persistent negative linkage over 90 days, suggesting their bond-proxy behavior has been more stable over a longer horizon than in the recent month.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