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meaningful across most assets, with the strongest and most stable sensitivity concentrated in gold, which has moved clearly opposite the dollar across all windows. Equities (SPX) also show a moderate, persistent negative correlation, while oil and broad commodities have tended to rise with a stronger dollar, though their ties are somewhat weaker and more variable. Bitcoin’s USD relationship is modest and less consistent, suggesting it has been less driven by dollar moves than the other assets in this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