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benchmarks have generally moved opposite to yields, with the Russell 2000 showing the strongest equity-rate linkage and thus the most concentrated sensitivity to rate moves. The S&amp;P 500 and Nasdaq 100 are also meaningfully negatively correlated to yields, suggesting broader U. S. equities have been pressured when rates rise, while financials show a milder relationship.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