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most tightly linked to Gold (GLD), with a clear inverse relationship that is stronger than its 90D average, while the S&amp;P 500 (SPX) and Bitcoin (BTC) also show meaningful but slightly less intense negative linkages. This implies USD strength has generally gone hand-in-hand with weakness in these “risk” and alternative assets, with the influence most concentrated in Gold. In contrast, oil (USO) and broad commodities (COMT) show only mild positive co-movement with the USD on a 30D basis, much weaker than their 90D tendency, suggesting more contained and recently fading USD sensitivity in the broader commodity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