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all major equity indices have moved inversely with the 10-year yield, with rate sensitivity strongest in small caps (Russell 2000) and somewhat less pronounced in the S&amp;P 500 and Nasdaq 100. The Russell’s correlation near -0.08 points to equity-rate dynamics that are concentrated in smaller, more domestically exposed names. Financials remain negatively linked to yields despite their typical rate exposure, while Utilities’ inverse relationship has strengthened over the 90-day window, suggesting more persistent rate sensitivity in that sector.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