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equities, gold, and crypto, with the S&amp;P 500 and Bitcoin tending to weaken when the dollar strengthens, and gold showing the tightest inverse linkage of the group. Gold’s negative correlation with the USD is both strong and persistent, while Bitcoin’s USD linkage is meaningful but somewhat weaker and less stable over 90 days. Oil shows a moderate positive relationship with the dollar, and broad commodities overall remain relatively insulated from USD moves, especially in the shorter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