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all major equity and sector indexes have moved inversely with 10-year yields, with small caps (Russell 2000) showing the most pronounced equity-rate sensitivity. The Russell’s consistently strong negative correlations across 15D, 30D, and 90D suggest that rate moves have been a particularly important driver for smaller, more domestically focused companies. Large-cap growth (Nasdaq 100), broad equities (S&amp;P 500), and rate-sensitive sectors like Financials and Utilities also show meaningful negative linkages, but the influence is less concentrated than in small caps.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