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GLD, BTC, and the S&amp;P 500, all showing consistent negative linkage, with gold the most tightly and steadily tied to dollar moves. Bitcoin and equities also move inversely to the USD, but somewhat less strongly than gold and with modest variation across the 15D and 90D windows. Oil (USO) and broad commodities (COMT) show only mild, positive, and relatively unstable correlations to the dollar, indicating limited and less reliable USD influence on those returns.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