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Rates correlations: Over the last 30 trading days, broad U. S. equities have shown moderate negative sensitivity to rising 10Y yields, with the S&amp;P 500 and Nasdaq 100 both pulling back when rates move higher and the Russell 2000 doing so more sharply. Rate influence is most concentrated in small caps, where correlations are the most negative across 15D, 30D, and 90D windows, indicating consistently higher rate sensitivity.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